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1DB95" w14:textId="393F3109" w:rsidR="00454A7E" w:rsidRDefault="00FB5B0F" w:rsidP="00FB5B0F">
      <w:pPr>
        <w:rPr>
          <w:rFonts w:ascii="Helvetica" w:hAnsi="Helvetica"/>
        </w:rPr>
      </w:pPr>
      <w:r>
        <w:rPr>
          <w:rFonts w:ascii="Helvetica" w:hAnsi="Helvetica"/>
          <w:noProof/>
        </w:rPr>
        <w:drawing>
          <wp:inline distT="0" distB="0" distL="0" distR="0" wp14:anchorId="4849014F" wp14:editId="501109B8">
            <wp:extent cx="1918335" cy="37669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lta-transp.2018.11.png"/>
                    <pic:cNvPicPr/>
                  </pic:nvPicPr>
                  <pic:blipFill>
                    <a:blip r:embed="rId8">
                      <a:extLst>
                        <a:ext uri="{28A0092B-C50C-407E-A947-70E740481C1C}">
                          <a14:useLocalDpi xmlns:a14="http://schemas.microsoft.com/office/drawing/2010/main" val="0"/>
                        </a:ext>
                      </a:extLst>
                    </a:blip>
                    <a:stretch>
                      <a:fillRect/>
                    </a:stretch>
                  </pic:blipFill>
                  <pic:spPr>
                    <a:xfrm>
                      <a:off x="0" y="0"/>
                      <a:ext cx="2354398" cy="462328"/>
                    </a:xfrm>
                    <a:prstGeom prst="rect">
                      <a:avLst/>
                    </a:prstGeom>
                  </pic:spPr>
                </pic:pic>
              </a:graphicData>
            </a:graphic>
          </wp:inline>
        </w:drawing>
      </w:r>
    </w:p>
    <w:p w14:paraId="27119C00" w14:textId="77777777" w:rsidR="00454A7E" w:rsidRDefault="00454A7E" w:rsidP="00454A7E">
      <w:pPr>
        <w:jc w:val="center"/>
        <w:rPr>
          <w:rFonts w:ascii="Helvetica" w:hAnsi="Helvetica"/>
        </w:rPr>
      </w:pPr>
    </w:p>
    <w:p w14:paraId="674703B3" w14:textId="77777777" w:rsidR="00454A7E" w:rsidRPr="00DA01BF" w:rsidRDefault="00454A7E" w:rsidP="00454A7E">
      <w:pPr>
        <w:rPr>
          <w:rFonts w:ascii="Helvetica" w:hAnsi="Helvetica"/>
          <w:sz w:val="28"/>
          <w:szCs w:val="28"/>
        </w:rPr>
      </w:pPr>
      <w:r w:rsidRPr="00DA01BF">
        <w:rPr>
          <w:rFonts w:ascii="Helvetica" w:hAnsi="Helvetica"/>
          <w:sz w:val="28"/>
          <w:szCs w:val="28"/>
        </w:rPr>
        <w:t>Board Discussion Starter</w:t>
      </w:r>
    </w:p>
    <w:p w14:paraId="2A65D33A" w14:textId="77777777" w:rsidR="00454A7E" w:rsidRPr="00DA01BF" w:rsidRDefault="00454A7E" w:rsidP="00454A7E">
      <w:pPr>
        <w:rPr>
          <w:rFonts w:ascii="Helvetica" w:hAnsi="Helvetica"/>
        </w:rPr>
      </w:pPr>
    </w:p>
    <w:p w14:paraId="1F6532D0" w14:textId="77777777" w:rsidR="00454A7E" w:rsidRDefault="00454A7E" w:rsidP="00454A7E">
      <w:pPr>
        <w:rPr>
          <w:rFonts w:ascii="Helvetica" w:hAnsi="Helvetica"/>
          <w:b/>
        </w:rPr>
      </w:pPr>
      <w:r w:rsidRPr="00DA01BF">
        <w:rPr>
          <w:rFonts w:ascii="Helvetica" w:hAnsi="Helvetica"/>
          <w:b/>
        </w:rPr>
        <w:t>Financial Oversight</w:t>
      </w:r>
    </w:p>
    <w:p w14:paraId="02758BB9" w14:textId="77777777" w:rsidR="005A1E2B" w:rsidRDefault="005A1E2B" w:rsidP="00454A7E">
      <w:pPr>
        <w:rPr>
          <w:rFonts w:ascii="Helvetica" w:hAnsi="Helvetica"/>
          <w:b/>
        </w:rPr>
      </w:pPr>
    </w:p>
    <w:p w14:paraId="6E0C28A1" w14:textId="299389E3" w:rsidR="005A1E2B" w:rsidRPr="00EB2BA9" w:rsidRDefault="005A1E2B" w:rsidP="00EB2BA9">
      <w:pPr>
        <w:spacing w:line="276" w:lineRule="auto"/>
        <w:rPr>
          <w:rFonts w:ascii="Helvetica" w:hAnsi="Helvetica"/>
          <w:sz w:val="22"/>
          <w:szCs w:val="22"/>
        </w:rPr>
      </w:pPr>
      <w:r w:rsidRPr="00EB2BA9">
        <w:rPr>
          <w:rFonts w:ascii="Helvetica" w:hAnsi="Helvetica"/>
          <w:sz w:val="22"/>
          <w:szCs w:val="22"/>
        </w:rPr>
        <w:t xml:space="preserve">Trustees bring a diversity of experiences, skills, knowledge, and questions to public library board work. Board policies and practices vary across the province and BCLTA is focused on common issues of common concern for board development. Your board chair, your library director, and BCLTA all have a role in helping you find further resources specific to your needs. The Libraries Branch staff are available for all questions regarding the </w:t>
      </w:r>
      <w:r w:rsidRPr="00EB2BA9">
        <w:rPr>
          <w:rFonts w:ascii="Helvetica" w:hAnsi="Helvetica"/>
          <w:i/>
          <w:sz w:val="22"/>
          <w:szCs w:val="22"/>
        </w:rPr>
        <w:t>Library Act</w:t>
      </w:r>
      <w:r w:rsidRPr="00EB2BA9">
        <w:rPr>
          <w:rFonts w:ascii="Helvetica" w:hAnsi="Helvetica"/>
          <w:sz w:val="22"/>
          <w:szCs w:val="22"/>
        </w:rPr>
        <w:t>.</w:t>
      </w:r>
    </w:p>
    <w:p w14:paraId="05DEB83E" w14:textId="77777777" w:rsidR="005A1E2B" w:rsidRPr="00EB2BA9" w:rsidRDefault="005A1E2B" w:rsidP="00EB2BA9">
      <w:pPr>
        <w:spacing w:line="276" w:lineRule="auto"/>
        <w:rPr>
          <w:rFonts w:ascii="Helvetica" w:hAnsi="Helvetica"/>
          <w:sz w:val="22"/>
          <w:szCs w:val="22"/>
        </w:rPr>
      </w:pPr>
    </w:p>
    <w:p w14:paraId="04CE2E32" w14:textId="21DC15B2" w:rsidR="005A1E2B" w:rsidRPr="00EB2BA9" w:rsidRDefault="00EC5DAC" w:rsidP="00EB2BA9">
      <w:pPr>
        <w:spacing w:line="276" w:lineRule="auto"/>
        <w:rPr>
          <w:rFonts w:ascii="Helvetica" w:hAnsi="Helvetica"/>
          <w:sz w:val="22"/>
          <w:szCs w:val="22"/>
        </w:rPr>
      </w:pPr>
      <w:r>
        <w:rPr>
          <w:rFonts w:ascii="Helvetica" w:hAnsi="Helvetica"/>
          <w:sz w:val="22"/>
          <w:szCs w:val="22"/>
        </w:rPr>
        <w:t>Your b</w:t>
      </w:r>
      <w:r w:rsidR="005A1E2B" w:rsidRPr="00EB2BA9">
        <w:rPr>
          <w:rFonts w:ascii="Helvetica" w:hAnsi="Helvetica"/>
          <w:sz w:val="22"/>
          <w:szCs w:val="22"/>
        </w:rPr>
        <w:t>oard financial oversight discussions</w:t>
      </w:r>
      <w:r>
        <w:rPr>
          <w:rFonts w:ascii="Helvetica" w:hAnsi="Helvetica"/>
          <w:sz w:val="22"/>
          <w:szCs w:val="22"/>
        </w:rPr>
        <w:t xml:space="preserve"> might cover a wide range of topics </w:t>
      </w:r>
      <w:r w:rsidR="00DE242E">
        <w:rPr>
          <w:rFonts w:ascii="Helvetica" w:hAnsi="Helvetica"/>
          <w:sz w:val="22"/>
          <w:szCs w:val="22"/>
        </w:rPr>
        <w:t>such as</w:t>
      </w:r>
      <w:r w:rsidR="005A1E2B" w:rsidRPr="00EB2BA9">
        <w:rPr>
          <w:rFonts w:ascii="Helvetica" w:hAnsi="Helvetica"/>
          <w:sz w:val="22"/>
          <w:szCs w:val="22"/>
        </w:rPr>
        <w:t>:</w:t>
      </w:r>
    </w:p>
    <w:p w14:paraId="74CEF4AD" w14:textId="77777777" w:rsidR="005A1E2B" w:rsidRPr="00EB2BA9" w:rsidRDefault="005A1E2B" w:rsidP="00EB2BA9">
      <w:pPr>
        <w:spacing w:line="276" w:lineRule="auto"/>
        <w:rPr>
          <w:rFonts w:ascii="Helvetica" w:hAnsi="Helvetica"/>
          <w:sz w:val="22"/>
          <w:szCs w:val="22"/>
        </w:rPr>
      </w:pPr>
    </w:p>
    <w:p w14:paraId="3468830A" w14:textId="77777777" w:rsidR="005A1E2B" w:rsidRPr="00EB2BA9" w:rsidRDefault="005A1E2B" w:rsidP="00EB2BA9">
      <w:pPr>
        <w:pStyle w:val="ListParagraph"/>
        <w:numPr>
          <w:ilvl w:val="0"/>
          <w:numId w:val="1"/>
        </w:numPr>
        <w:spacing w:line="276" w:lineRule="auto"/>
        <w:rPr>
          <w:rFonts w:ascii="Helvetica" w:hAnsi="Helvetica"/>
          <w:sz w:val="22"/>
          <w:szCs w:val="22"/>
        </w:rPr>
      </w:pPr>
      <w:r w:rsidRPr="00EB2BA9">
        <w:rPr>
          <w:rFonts w:ascii="Helvetica" w:hAnsi="Helvetica"/>
          <w:sz w:val="22"/>
          <w:szCs w:val="22"/>
        </w:rPr>
        <w:t>Board roles and responsibilities.</w:t>
      </w:r>
    </w:p>
    <w:p w14:paraId="1BBE8A3A" w14:textId="77777777" w:rsidR="005A1E2B" w:rsidRPr="00EB2BA9" w:rsidRDefault="005A1E2B" w:rsidP="00EB2BA9">
      <w:pPr>
        <w:pStyle w:val="ListParagraph"/>
        <w:numPr>
          <w:ilvl w:val="0"/>
          <w:numId w:val="1"/>
        </w:numPr>
        <w:spacing w:line="276" w:lineRule="auto"/>
        <w:rPr>
          <w:rFonts w:ascii="Helvetica" w:hAnsi="Helvetica"/>
          <w:sz w:val="22"/>
          <w:szCs w:val="22"/>
        </w:rPr>
      </w:pPr>
      <w:r w:rsidRPr="00EB2BA9">
        <w:rPr>
          <w:rFonts w:ascii="Helvetica" w:hAnsi="Helvetica"/>
          <w:sz w:val="22"/>
          <w:szCs w:val="22"/>
        </w:rPr>
        <w:t>Making sense of financial reports.</w:t>
      </w:r>
    </w:p>
    <w:p w14:paraId="0BEA7BA0" w14:textId="77777777" w:rsidR="005A1E2B" w:rsidRPr="00EB2BA9" w:rsidRDefault="005A1E2B" w:rsidP="00EB2BA9">
      <w:pPr>
        <w:pStyle w:val="ListParagraph"/>
        <w:numPr>
          <w:ilvl w:val="0"/>
          <w:numId w:val="1"/>
        </w:numPr>
        <w:spacing w:line="276" w:lineRule="auto"/>
        <w:rPr>
          <w:rFonts w:ascii="Helvetica" w:hAnsi="Helvetica"/>
          <w:sz w:val="22"/>
          <w:szCs w:val="22"/>
        </w:rPr>
      </w:pPr>
      <w:r w:rsidRPr="00EB2BA9">
        <w:rPr>
          <w:rFonts w:ascii="Helvetica" w:hAnsi="Helvetica"/>
          <w:sz w:val="22"/>
          <w:szCs w:val="22"/>
        </w:rPr>
        <w:t xml:space="preserve">Providing strategic direction for budget development. </w:t>
      </w:r>
    </w:p>
    <w:p w14:paraId="0CFF21F0" w14:textId="77777777" w:rsidR="005A1E2B" w:rsidRPr="00EB2BA9" w:rsidRDefault="005A1E2B" w:rsidP="00EB2BA9">
      <w:pPr>
        <w:pStyle w:val="ListParagraph"/>
        <w:numPr>
          <w:ilvl w:val="0"/>
          <w:numId w:val="1"/>
        </w:numPr>
        <w:spacing w:line="276" w:lineRule="auto"/>
        <w:rPr>
          <w:rFonts w:ascii="Helvetica" w:hAnsi="Helvetica"/>
          <w:sz w:val="22"/>
          <w:szCs w:val="22"/>
        </w:rPr>
      </w:pPr>
      <w:r w:rsidRPr="00EB2BA9">
        <w:rPr>
          <w:rFonts w:ascii="Helvetica" w:hAnsi="Helvetica"/>
          <w:sz w:val="22"/>
          <w:szCs w:val="22"/>
        </w:rPr>
        <w:t>Knowing what to measure for successful use of the budget.</w:t>
      </w:r>
    </w:p>
    <w:p w14:paraId="041D3040" w14:textId="77777777" w:rsidR="005A1E2B" w:rsidRPr="00EB2BA9" w:rsidRDefault="005A1E2B" w:rsidP="00EB2BA9">
      <w:pPr>
        <w:pStyle w:val="ListParagraph"/>
        <w:numPr>
          <w:ilvl w:val="0"/>
          <w:numId w:val="1"/>
        </w:numPr>
        <w:spacing w:line="276" w:lineRule="auto"/>
        <w:rPr>
          <w:rFonts w:ascii="Helvetica" w:hAnsi="Helvetica"/>
          <w:b/>
          <w:sz w:val="22"/>
          <w:szCs w:val="22"/>
        </w:rPr>
      </w:pPr>
      <w:r w:rsidRPr="00EB2BA9">
        <w:rPr>
          <w:rFonts w:ascii="Helvetica" w:hAnsi="Helvetica"/>
          <w:sz w:val="22"/>
          <w:szCs w:val="22"/>
        </w:rPr>
        <w:t xml:space="preserve">Supporting the library director to do their work of financial management. </w:t>
      </w:r>
    </w:p>
    <w:p w14:paraId="4E0F5EDB" w14:textId="77777777" w:rsidR="00413DDF" w:rsidRPr="00EB2BA9" w:rsidRDefault="00413DDF" w:rsidP="00EB2BA9">
      <w:pPr>
        <w:spacing w:line="276" w:lineRule="auto"/>
        <w:rPr>
          <w:rFonts w:ascii="Helvetica" w:hAnsi="Helvetica"/>
          <w:b/>
          <w:sz w:val="22"/>
          <w:szCs w:val="22"/>
        </w:rPr>
      </w:pPr>
    </w:p>
    <w:p w14:paraId="421F43BE" w14:textId="18C3C4EC" w:rsidR="00413DDF" w:rsidRPr="00EB2BA9" w:rsidRDefault="00413DDF" w:rsidP="00EB2BA9">
      <w:pPr>
        <w:spacing w:line="276" w:lineRule="auto"/>
        <w:rPr>
          <w:rFonts w:ascii="Helvetica" w:hAnsi="Helvetica"/>
          <w:b/>
          <w:sz w:val="22"/>
          <w:szCs w:val="22"/>
        </w:rPr>
      </w:pPr>
      <w:r w:rsidRPr="00EB2BA9">
        <w:rPr>
          <w:rFonts w:ascii="Helvetica" w:hAnsi="Helvetica"/>
          <w:b/>
          <w:sz w:val="22"/>
          <w:szCs w:val="22"/>
        </w:rPr>
        <w:t>Resources</w:t>
      </w:r>
    </w:p>
    <w:p w14:paraId="452F1200" w14:textId="77777777" w:rsidR="00B33F4A" w:rsidRPr="00EB2BA9" w:rsidRDefault="00B33F4A" w:rsidP="00EB2BA9">
      <w:pPr>
        <w:spacing w:line="276" w:lineRule="auto"/>
        <w:rPr>
          <w:rFonts w:ascii="Helvetica" w:hAnsi="Helvetica"/>
          <w:b/>
          <w:sz w:val="22"/>
          <w:szCs w:val="22"/>
        </w:rPr>
      </w:pPr>
    </w:p>
    <w:p w14:paraId="029627EE" w14:textId="5E772903" w:rsidR="00EF619D" w:rsidRPr="00EB2BA9" w:rsidRDefault="00EF619D" w:rsidP="00EB2BA9">
      <w:pPr>
        <w:spacing w:line="276" w:lineRule="auto"/>
        <w:textAlignment w:val="baseline"/>
        <w:rPr>
          <w:rFonts w:ascii="Helvetica" w:eastAsia="Times New Roman" w:hAnsi="Helvetica" w:cs="Times New Roman"/>
          <w:color w:val="000000" w:themeColor="text1"/>
          <w:sz w:val="22"/>
          <w:szCs w:val="22"/>
        </w:rPr>
      </w:pPr>
      <w:r w:rsidRPr="00EF619D">
        <w:rPr>
          <w:rFonts w:ascii="Helvetica" w:eastAsia="Times New Roman" w:hAnsi="Helvetica" w:cs="Times New Roman"/>
          <w:color w:val="000000" w:themeColor="text1"/>
          <w:sz w:val="22"/>
          <w:szCs w:val="22"/>
        </w:rPr>
        <w:t xml:space="preserve">May 12, 2018, </w:t>
      </w:r>
      <w:r w:rsidR="003D3CBF">
        <w:rPr>
          <w:rFonts w:ascii="Helvetica" w:eastAsia="Times New Roman" w:hAnsi="Helvetica" w:cs="Times New Roman"/>
          <w:color w:val="000000" w:themeColor="text1"/>
          <w:sz w:val="22"/>
          <w:szCs w:val="22"/>
        </w:rPr>
        <w:t xml:space="preserve">presentation by </w:t>
      </w:r>
      <w:r w:rsidRPr="00EF619D">
        <w:rPr>
          <w:rFonts w:ascii="Helvetica" w:eastAsia="Times New Roman" w:hAnsi="Helvetica" w:cs="Times New Roman"/>
          <w:color w:val="000000" w:themeColor="text1"/>
          <w:sz w:val="22"/>
          <w:szCs w:val="22"/>
        </w:rPr>
        <w:t>Susan Koch (Richmond Public Library Board Chair)</w:t>
      </w:r>
      <w:r w:rsidR="003D3CBF">
        <w:rPr>
          <w:rFonts w:ascii="Helvetica" w:eastAsia="Times New Roman" w:hAnsi="Helvetica" w:cs="Times New Roman"/>
          <w:color w:val="000000" w:themeColor="text1"/>
          <w:sz w:val="22"/>
          <w:szCs w:val="22"/>
        </w:rPr>
        <w:t>.</w:t>
      </w:r>
      <w:r w:rsidRPr="00EB2BA9">
        <w:rPr>
          <w:rFonts w:ascii="Helvetica" w:eastAsia="Times New Roman" w:hAnsi="Helvetica" w:cs="Times New Roman"/>
          <w:color w:val="000000" w:themeColor="text1"/>
          <w:sz w:val="22"/>
          <w:szCs w:val="22"/>
        </w:rPr>
        <w:t> </w:t>
      </w:r>
      <w:hyperlink r:id="rId9" w:tgtFrame="_blank" w:history="1">
        <w:r w:rsidRPr="00EB2BA9">
          <w:rPr>
            <w:rFonts w:ascii="Helvetica" w:eastAsia="Times New Roman" w:hAnsi="Helvetica" w:cs="Times New Roman"/>
            <w:color w:val="000000" w:themeColor="text1"/>
            <w:sz w:val="22"/>
            <w:szCs w:val="22"/>
            <w:u w:val="single"/>
            <w:bdr w:val="none" w:sz="0" w:space="0" w:color="auto" w:frame="1"/>
          </w:rPr>
          <w:t>p</w:t>
        </w:r>
        <w:r w:rsidRPr="00EB2BA9">
          <w:rPr>
            <w:rFonts w:ascii="Helvetica" w:eastAsia="Times New Roman" w:hAnsi="Helvetica" w:cs="Times New Roman"/>
            <w:color w:val="000000" w:themeColor="text1"/>
            <w:sz w:val="22"/>
            <w:szCs w:val="22"/>
            <w:u w:val="single"/>
            <w:bdr w:val="none" w:sz="0" w:space="0" w:color="auto" w:frame="1"/>
          </w:rPr>
          <w:t>d</w:t>
        </w:r>
        <w:r w:rsidRPr="00EB2BA9">
          <w:rPr>
            <w:rFonts w:ascii="Helvetica" w:eastAsia="Times New Roman" w:hAnsi="Helvetica" w:cs="Times New Roman"/>
            <w:color w:val="000000" w:themeColor="text1"/>
            <w:sz w:val="22"/>
            <w:szCs w:val="22"/>
            <w:u w:val="single"/>
            <w:bdr w:val="none" w:sz="0" w:space="0" w:color="auto" w:frame="1"/>
          </w:rPr>
          <w:t>f</w:t>
        </w:r>
      </w:hyperlink>
    </w:p>
    <w:p w14:paraId="55867AA0" w14:textId="4F41B969" w:rsidR="00EF619D" w:rsidRPr="00EB2BA9" w:rsidRDefault="004876DE" w:rsidP="00EB2BA9">
      <w:pPr>
        <w:pStyle w:val="ListParagraph"/>
        <w:numPr>
          <w:ilvl w:val="0"/>
          <w:numId w:val="3"/>
        </w:numPr>
        <w:spacing w:line="276" w:lineRule="auto"/>
        <w:textAlignment w:val="baseline"/>
        <w:rPr>
          <w:rFonts w:ascii="Helvetica" w:eastAsia="Times New Roman" w:hAnsi="Helvetica" w:cs="Times New Roman"/>
          <w:color w:val="000000" w:themeColor="text1"/>
          <w:sz w:val="22"/>
          <w:szCs w:val="22"/>
        </w:rPr>
      </w:pPr>
      <w:r w:rsidRPr="00EB2BA9">
        <w:rPr>
          <w:rFonts w:ascii="Helvetica" w:eastAsia="Times New Roman" w:hAnsi="Helvetica" w:cs="Times New Roman"/>
          <w:color w:val="000000" w:themeColor="text1"/>
          <w:sz w:val="22"/>
          <w:szCs w:val="22"/>
        </w:rPr>
        <w:t>A very accessible</w:t>
      </w:r>
      <w:r w:rsidR="00EF619D" w:rsidRPr="00EB2BA9">
        <w:rPr>
          <w:rFonts w:ascii="Helvetica" w:eastAsia="Times New Roman" w:hAnsi="Helvetica" w:cs="Times New Roman"/>
          <w:color w:val="000000" w:themeColor="text1"/>
          <w:sz w:val="22"/>
          <w:szCs w:val="22"/>
        </w:rPr>
        <w:t xml:space="preserve"> framework for discussing the difference between governance oversight and operational management of the budget and the detail and format of board financial reports. </w:t>
      </w:r>
    </w:p>
    <w:p w14:paraId="2B7038FA" w14:textId="77777777" w:rsidR="003964EE" w:rsidRPr="00EB2BA9" w:rsidRDefault="003964EE" w:rsidP="00EB2BA9">
      <w:pPr>
        <w:spacing w:line="276" w:lineRule="auto"/>
        <w:textAlignment w:val="baseline"/>
        <w:rPr>
          <w:rFonts w:ascii="Helvetica" w:eastAsia="Times New Roman" w:hAnsi="Helvetica" w:cs="Times New Roman"/>
          <w:color w:val="000000" w:themeColor="text1"/>
          <w:sz w:val="22"/>
          <w:szCs w:val="22"/>
        </w:rPr>
      </w:pPr>
    </w:p>
    <w:p w14:paraId="2CEFE9CC" w14:textId="18A4DF8D" w:rsidR="00EF619D" w:rsidRPr="00EB2BA9" w:rsidRDefault="003D3CBF" w:rsidP="00EB2BA9">
      <w:pPr>
        <w:spacing w:line="276" w:lineRule="auto"/>
        <w:textAlignment w:val="baseline"/>
        <w:rPr>
          <w:rFonts w:ascii="Helvetica" w:eastAsia="Times New Roman" w:hAnsi="Helvetica" w:cs="Times New Roman"/>
          <w:color w:val="000000" w:themeColor="text1"/>
          <w:sz w:val="22"/>
          <w:szCs w:val="22"/>
        </w:rPr>
      </w:pPr>
      <w:hyperlink r:id="rId10" w:history="1">
        <w:r w:rsidR="003964EE" w:rsidRPr="003D3CBF">
          <w:rPr>
            <w:rStyle w:val="Hyperlink"/>
            <w:rFonts w:ascii="Helvetica" w:eastAsia="Times New Roman" w:hAnsi="Helvetica" w:cs="Times New Roman"/>
            <w:i/>
            <w:sz w:val="22"/>
            <w:szCs w:val="22"/>
          </w:rPr>
          <w:t>A guide to financial statements for not-for-profit organizations (NFPs): Questions for directors</w:t>
        </w:r>
      </w:hyperlink>
      <w:r>
        <w:rPr>
          <w:rFonts w:ascii="Helvetica" w:eastAsia="Times New Roman" w:hAnsi="Helvetica" w:cs="Times New Roman"/>
          <w:color w:val="000000" w:themeColor="text1"/>
          <w:sz w:val="22"/>
          <w:szCs w:val="22"/>
        </w:rPr>
        <w:t xml:space="preserve">. </w:t>
      </w:r>
      <w:r w:rsidR="003964EE" w:rsidRPr="00EB2BA9">
        <w:rPr>
          <w:rFonts w:ascii="Helvetica" w:eastAsia="Times New Roman" w:hAnsi="Helvetica" w:cs="Times New Roman"/>
          <w:color w:val="000000" w:themeColor="text1"/>
          <w:sz w:val="22"/>
          <w:szCs w:val="22"/>
        </w:rPr>
        <w:t xml:space="preserve">Chartered Professional Accountants of Canada, reviewed annually for accuracy and relevancy. </w:t>
      </w:r>
    </w:p>
    <w:p w14:paraId="219FDBEC" w14:textId="6748F1E5" w:rsidR="003964EE" w:rsidRPr="00EB2BA9" w:rsidRDefault="003964EE" w:rsidP="00EB2BA9">
      <w:pPr>
        <w:pStyle w:val="ListParagraph"/>
        <w:numPr>
          <w:ilvl w:val="0"/>
          <w:numId w:val="3"/>
        </w:numPr>
        <w:spacing w:line="276" w:lineRule="auto"/>
        <w:textAlignment w:val="baseline"/>
        <w:rPr>
          <w:rFonts w:ascii="Helvetica" w:eastAsia="Times New Roman" w:hAnsi="Helvetica" w:cs="Times New Roman"/>
          <w:color w:val="000000" w:themeColor="text1"/>
          <w:sz w:val="22"/>
          <w:szCs w:val="22"/>
        </w:rPr>
      </w:pPr>
      <w:r w:rsidRPr="00EB2BA9">
        <w:rPr>
          <w:rFonts w:ascii="Helvetica" w:eastAsia="Times New Roman" w:hAnsi="Helvetica" w:cs="Times New Roman"/>
          <w:color w:val="000000" w:themeColor="text1"/>
          <w:sz w:val="22"/>
          <w:szCs w:val="22"/>
        </w:rPr>
        <w:t>While this booklet is intended for NFPs, the plain language explanations for various financial reports is applicable for public library trustees.</w:t>
      </w:r>
    </w:p>
    <w:p w14:paraId="0DFABD9D" w14:textId="7474D16E" w:rsidR="003964EE" w:rsidRPr="00EB2BA9" w:rsidRDefault="003964EE" w:rsidP="00EB2BA9">
      <w:pPr>
        <w:pStyle w:val="ListParagraph"/>
        <w:numPr>
          <w:ilvl w:val="0"/>
          <w:numId w:val="3"/>
        </w:numPr>
        <w:spacing w:line="276" w:lineRule="auto"/>
        <w:textAlignment w:val="baseline"/>
        <w:rPr>
          <w:rFonts w:ascii="Helvetica" w:eastAsia="Times New Roman" w:hAnsi="Helvetica" w:cs="Times New Roman"/>
          <w:color w:val="000000" w:themeColor="text1"/>
          <w:sz w:val="22"/>
          <w:szCs w:val="22"/>
        </w:rPr>
      </w:pPr>
      <w:r w:rsidRPr="00EB2BA9">
        <w:rPr>
          <w:rFonts w:ascii="Helvetica" w:eastAsia="Times New Roman" w:hAnsi="Helvetica" w:cs="Times New Roman"/>
          <w:color w:val="000000" w:themeColor="text1"/>
          <w:sz w:val="22"/>
          <w:szCs w:val="22"/>
        </w:rPr>
        <w:t xml:space="preserve">The section on questions to ask supports board discussions for building a shared understanding with the library director on roles and responsibilities. </w:t>
      </w:r>
    </w:p>
    <w:p w14:paraId="6002CCC1" w14:textId="77777777" w:rsidR="00ED64B6" w:rsidRPr="00EB2BA9" w:rsidRDefault="00ED64B6" w:rsidP="00EB2BA9">
      <w:pPr>
        <w:spacing w:line="276" w:lineRule="auto"/>
        <w:textAlignment w:val="baseline"/>
        <w:rPr>
          <w:rFonts w:ascii="Helvetica" w:eastAsia="Times New Roman" w:hAnsi="Helvetica" w:cs="Times New Roman"/>
          <w:color w:val="000000" w:themeColor="text1"/>
          <w:sz w:val="22"/>
          <w:szCs w:val="22"/>
        </w:rPr>
      </w:pPr>
    </w:p>
    <w:p w14:paraId="53077371" w14:textId="77777777" w:rsidR="003D3CBF" w:rsidRDefault="003D3CBF" w:rsidP="003D3CBF">
      <w:pPr>
        <w:spacing w:line="276" w:lineRule="auto"/>
        <w:textAlignment w:val="baseline"/>
        <w:rPr>
          <w:rFonts w:ascii="Helvetica" w:eastAsia="Times New Roman" w:hAnsi="Helvetica" w:cs="Times New Roman"/>
          <w:color w:val="000000" w:themeColor="text1"/>
          <w:sz w:val="22"/>
          <w:szCs w:val="22"/>
        </w:rPr>
      </w:pPr>
      <w:hyperlink r:id="rId11" w:history="1">
        <w:r w:rsidR="004876DE" w:rsidRPr="003D3CBF">
          <w:rPr>
            <w:rStyle w:val="Hyperlink"/>
            <w:rFonts w:ascii="Helvetica" w:eastAsia="Times New Roman" w:hAnsi="Helvetica" w:cs="Times New Roman"/>
            <w:i/>
            <w:sz w:val="22"/>
            <w:szCs w:val="22"/>
          </w:rPr>
          <w:t>Duties and Responsibilities of the Library Board</w:t>
        </w:r>
      </w:hyperlink>
      <w:r w:rsidR="004876DE" w:rsidRPr="00EB2BA9">
        <w:rPr>
          <w:rFonts w:ascii="Helvetica" w:eastAsia="Times New Roman" w:hAnsi="Helvetica" w:cs="Times New Roman"/>
          <w:color w:val="000000" w:themeColor="text1"/>
          <w:sz w:val="22"/>
          <w:szCs w:val="22"/>
        </w:rPr>
        <w:t xml:space="preserve">, North Vancouver District Public Library, 2016. </w:t>
      </w:r>
      <w:r>
        <w:rPr>
          <w:rFonts w:ascii="Helvetica" w:eastAsia="Times New Roman" w:hAnsi="Helvetica" w:cs="Times New Roman"/>
          <w:color w:val="000000" w:themeColor="text1"/>
          <w:sz w:val="22"/>
          <w:szCs w:val="22"/>
        </w:rPr>
        <w:t xml:space="preserve"> </w:t>
      </w:r>
    </w:p>
    <w:p w14:paraId="1482062A" w14:textId="5FE49C54" w:rsidR="004876DE" w:rsidRPr="003D3CBF" w:rsidRDefault="004876DE" w:rsidP="003D3CBF">
      <w:pPr>
        <w:pStyle w:val="ListParagraph"/>
        <w:numPr>
          <w:ilvl w:val="0"/>
          <w:numId w:val="5"/>
        </w:numPr>
        <w:spacing w:line="276" w:lineRule="auto"/>
        <w:textAlignment w:val="baseline"/>
        <w:rPr>
          <w:rFonts w:ascii="Helvetica" w:eastAsia="Times New Roman" w:hAnsi="Helvetica" w:cs="Times New Roman"/>
          <w:color w:val="000000" w:themeColor="text1"/>
          <w:sz w:val="22"/>
          <w:szCs w:val="22"/>
        </w:rPr>
      </w:pPr>
      <w:r w:rsidRPr="003D3CBF">
        <w:rPr>
          <w:rFonts w:ascii="Helvetica" w:eastAsia="Times New Roman" w:hAnsi="Helvetica" w:cs="Times New Roman"/>
          <w:color w:val="000000" w:themeColor="text1"/>
          <w:sz w:val="22"/>
          <w:szCs w:val="22"/>
        </w:rPr>
        <w:t>Concise, easy to digest document.</w:t>
      </w:r>
    </w:p>
    <w:p w14:paraId="6331F3FC" w14:textId="2C6EFFED" w:rsidR="004876DE" w:rsidRPr="00EB2BA9" w:rsidRDefault="004876DE" w:rsidP="00EB2BA9">
      <w:pPr>
        <w:pStyle w:val="ListParagraph"/>
        <w:numPr>
          <w:ilvl w:val="0"/>
          <w:numId w:val="4"/>
        </w:numPr>
        <w:spacing w:line="276" w:lineRule="auto"/>
        <w:textAlignment w:val="baseline"/>
        <w:rPr>
          <w:rFonts w:ascii="Helvetica" w:eastAsia="Times New Roman" w:hAnsi="Helvetica" w:cs="Times New Roman"/>
          <w:color w:val="000000" w:themeColor="text1"/>
          <w:sz w:val="22"/>
          <w:szCs w:val="22"/>
        </w:rPr>
      </w:pPr>
      <w:r w:rsidRPr="00EB2BA9">
        <w:rPr>
          <w:rFonts w:ascii="Helvetica" w:eastAsia="Times New Roman" w:hAnsi="Helvetica" w:cs="Times New Roman"/>
          <w:color w:val="000000" w:themeColor="text1"/>
          <w:sz w:val="22"/>
          <w:szCs w:val="22"/>
        </w:rPr>
        <w:t xml:space="preserve">Provides a guiding principle approach to establishing the boards governance and oversight roles and responsibilities and the library director’s operational management role and responsibilities for everything including the library’s finances. </w:t>
      </w:r>
    </w:p>
    <w:p w14:paraId="2745B881" w14:textId="5682B179" w:rsidR="00454A7E" w:rsidRPr="00EB2BA9" w:rsidRDefault="00454A7E" w:rsidP="00EB2BA9">
      <w:pPr>
        <w:spacing w:line="276" w:lineRule="auto"/>
        <w:rPr>
          <w:rFonts w:ascii="Helvetica" w:hAnsi="Helvetica"/>
          <w:b/>
          <w:sz w:val="22"/>
          <w:szCs w:val="22"/>
        </w:rPr>
      </w:pPr>
    </w:p>
    <w:p w14:paraId="3AECC6A1" w14:textId="77777777" w:rsidR="005E3682" w:rsidRDefault="005E3682" w:rsidP="00EB2BA9">
      <w:pPr>
        <w:spacing w:line="276" w:lineRule="auto"/>
        <w:rPr>
          <w:rFonts w:ascii="Helvetica" w:hAnsi="Helvetica"/>
          <w:sz w:val="22"/>
          <w:szCs w:val="22"/>
        </w:rPr>
      </w:pPr>
    </w:p>
    <w:p w14:paraId="38C3FF96" w14:textId="1C262191" w:rsidR="00454A7E" w:rsidRDefault="003D3CBF" w:rsidP="00EB2BA9">
      <w:pPr>
        <w:spacing w:line="276" w:lineRule="auto"/>
        <w:rPr>
          <w:rFonts w:ascii="Helvetica" w:hAnsi="Helvetica"/>
          <w:sz w:val="22"/>
          <w:szCs w:val="22"/>
        </w:rPr>
      </w:pPr>
      <w:hyperlink r:id="rId12" w:history="1">
        <w:r w:rsidR="00EB2BA9" w:rsidRPr="003D3CBF">
          <w:rPr>
            <w:rStyle w:val="Hyperlink"/>
            <w:rFonts w:ascii="Helvetica" w:hAnsi="Helvetica"/>
            <w:sz w:val="22"/>
            <w:szCs w:val="22"/>
          </w:rPr>
          <w:t>“Ontario Public Library Governance at a Glance”</w:t>
        </w:r>
      </w:hyperlink>
      <w:r w:rsidR="00EB2BA9" w:rsidRPr="00EB2BA9">
        <w:rPr>
          <w:rFonts w:ascii="Helvetica" w:hAnsi="Helvetica"/>
          <w:sz w:val="22"/>
          <w:szCs w:val="22"/>
        </w:rPr>
        <w:t xml:space="preserve">, </w:t>
      </w:r>
      <w:r w:rsidR="00EB2BA9" w:rsidRPr="00EB2BA9">
        <w:rPr>
          <w:rFonts w:ascii="Helvetica" w:hAnsi="Helvetica"/>
          <w:i/>
          <w:sz w:val="22"/>
          <w:szCs w:val="22"/>
        </w:rPr>
        <w:t>Cut to the Chase</w:t>
      </w:r>
      <w:r w:rsidR="00EB2BA9" w:rsidRPr="00EB2BA9">
        <w:rPr>
          <w:rFonts w:ascii="Helvetica" w:hAnsi="Helvetica"/>
          <w:sz w:val="22"/>
          <w:szCs w:val="22"/>
        </w:rPr>
        <w:t xml:space="preserve">. Ontario Library Board Association, 2007. </w:t>
      </w:r>
    </w:p>
    <w:p w14:paraId="7DE26933" w14:textId="11A2C1FE" w:rsidR="003D3CBF" w:rsidRDefault="003D3CBF" w:rsidP="003D3CBF">
      <w:pPr>
        <w:pStyle w:val="ListParagraph"/>
        <w:numPr>
          <w:ilvl w:val="0"/>
          <w:numId w:val="4"/>
        </w:numPr>
        <w:spacing w:line="276" w:lineRule="auto"/>
        <w:rPr>
          <w:rFonts w:ascii="Helvetica" w:hAnsi="Helvetica"/>
          <w:sz w:val="22"/>
          <w:szCs w:val="22"/>
        </w:rPr>
      </w:pPr>
      <w:r>
        <w:rPr>
          <w:rFonts w:ascii="Helvetica" w:hAnsi="Helvetica"/>
          <w:sz w:val="22"/>
          <w:szCs w:val="22"/>
        </w:rPr>
        <w:t xml:space="preserve">Highly accessible, useful and applicable information regarding the fiduciary responsibility </w:t>
      </w:r>
      <w:r w:rsidR="00051922">
        <w:rPr>
          <w:rFonts w:ascii="Helvetica" w:hAnsi="Helvetica"/>
          <w:sz w:val="22"/>
          <w:szCs w:val="22"/>
        </w:rPr>
        <w:t>of the board and the</w:t>
      </w:r>
      <w:r>
        <w:rPr>
          <w:rFonts w:ascii="Helvetica" w:hAnsi="Helvetica"/>
          <w:sz w:val="22"/>
          <w:szCs w:val="22"/>
        </w:rPr>
        <w:t xml:space="preserve"> board’s power to oversee the finances of the library. </w:t>
      </w:r>
    </w:p>
    <w:p w14:paraId="776CD995" w14:textId="693E6B83" w:rsidR="00CB2858" w:rsidRPr="00AA4219" w:rsidRDefault="007E7255" w:rsidP="00CB2858">
      <w:pPr>
        <w:pStyle w:val="ListParagraph"/>
        <w:numPr>
          <w:ilvl w:val="0"/>
          <w:numId w:val="4"/>
        </w:numPr>
        <w:spacing w:line="276" w:lineRule="auto"/>
        <w:rPr>
          <w:rFonts w:ascii="Helvetica" w:hAnsi="Helvetica"/>
          <w:sz w:val="22"/>
          <w:szCs w:val="22"/>
        </w:rPr>
      </w:pPr>
      <w:r>
        <w:rPr>
          <w:rFonts w:ascii="Helvetica" w:hAnsi="Helvetica"/>
          <w:sz w:val="22"/>
          <w:szCs w:val="22"/>
        </w:rPr>
        <w:t>Explicit and useful points such as that board financial oversight does mean ensuring that financial policies are in place and does not mean challenging a miniscule amount on a budget line.</w:t>
      </w:r>
    </w:p>
    <w:p w14:paraId="2F563321" w14:textId="77777777" w:rsidR="00CB2858" w:rsidRPr="00CB2858" w:rsidRDefault="00CB2858" w:rsidP="00CB2858">
      <w:pPr>
        <w:spacing w:line="276" w:lineRule="auto"/>
        <w:rPr>
          <w:rFonts w:ascii="Helvetica" w:hAnsi="Helvetica"/>
          <w:sz w:val="22"/>
          <w:szCs w:val="22"/>
        </w:rPr>
      </w:pPr>
    </w:p>
    <w:p w14:paraId="74899BC4" w14:textId="5F70C713" w:rsidR="00BB12FF" w:rsidRDefault="009E3596" w:rsidP="00BB12FF">
      <w:pPr>
        <w:spacing w:line="276" w:lineRule="auto"/>
        <w:rPr>
          <w:rFonts w:ascii="Helvetica" w:hAnsi="Helvetica"/>
          <w:sz w:val="22"/>
          <w:szCs w:val="22"/>
        </w:rPr>
      </w:pPr>
      <w:hyperlink r:id="rId13" w:history="1">
        <w:r w:rsidR="00CB2858" w:rsidRPr="009E3596">
          <w:rPr>
            <w:rStyle w:val="Hyperlink"/>
            <w:rFonts w:ascii="Helvetica" w:hAnsi="Helvetica"/>
            <w:i/>
            <w:sz w:val="22"/>
            <w:szCs w:val="22"/>
          </w:rPr>
          <w:t>Library Board Development Kit</w:t>
        </w:r>
      </w:hyperlink>
      <w:r w:rsidR="00CB2858">
        <w:rPr>
          <w:rFonts w:ascii="Helvetica" w:hAnsi="Helvetica"/>
          <w:sz w:val="22"/>
          <w:szCs w:val="22"/>
        </w:rPr>
        <w:t>, Southern Ontario Library Services (</w:t>
      </w:r>
      <w:r w:rsidR="00F72200">
        <w:rPr>
          <w:rFonts w:ascii="Helvetica" w:hAnsi="Helvetica"/>
          <w:sz w:val="22"/>
          <w:szCs w:val="22"/>
        </w:rPr>
        <w:t>Province of Ontario fund</w:t>
      </w:r>
      <w:r w:rsidR="00CB2858">
        <w:rPr>
          <w:rFonts w:ascii="Helvetica" w:hAnsi="Helvetica"/>
          <w:sz w:val="22"/>
          <w:szCs w:val="22"/>
        </w:rPr>
        <w:t xml:space="preserve">ed Agency), 2014. </w:t>
      </w:r>
    </w:p>
    <w:p w14:paraId="40483A68" w14:textId="77777777" w:rsidR="00CB2858" w:rsidRPr="009E3596" w:rsidRDefault="00CB2858" w:rsidP="009E3596">
      <w:pPr>
        <w:pStyle w:val="ListParagraph"/>
        <w:numPr>
          <w:ilvl w:val="0"/>
          <w:numId w:val="6"/>
        </w:numPr>
        <w:spacing w:line="276" w:lineRule="auto"/>
        <w:rPr>
          <w:rFonts w:ascii="Helvetica" w:hAnsi="Helvetica"/>
          <w:sz w:val="22"/>
          <w:szCs w:val="22"/>
        </w:rPr>
      </w:pPr>
      <w:r w:rsidRPr="009E3596">
        <w:rPr>
          <w:rFonts w:ascii="Helvetica" w:hAnsi="Helvetica"/>
          <w:sz w:val="22"/>
          <w:szCs w:val="22"/>
        </w:rPr>
        <w:t xml:space="preserve">Due to the level of detail in this document, please use carefully as it very much reflects the </w:t>
      </w:r>
      <w:r w:rsidRPr="009E3596">
        <w:rPr>
          <w:rFonts w:ascii="Helvetica" w:hAnsi="Helvetica"/>
          <w:i/>
          <w:sz w:val="22"/>
          <w:szCs w:val="22"/>
        </w:rPr>
        <w:t>Ontario Library Act</w:t>
      </w:r>
      <w:r w:rsidRPr="009E3596">
        <w:rPr>
          <w:rFonts w:ascii="Helvetica" w:hAnsi="Helvetica"/>
          <w:sz w:val="22"/>
          <w:szCs w:val="22"/>
        </w:rPr>
        <w:t xml:space="preserve">, which has key differences from the </w:t>
      </w:r>
      <w:r w:rsidRPr="009E3596">
        <w:rPr>
          <w:rFonts w:ascii="Helvetica" w:hAnsi="Helvetica"/>
          <w:i/>
          <w:sz w:val="22"/>
          <w:szCs w:val="22"/>
        </w:rPr>
        <w:t>BC Library Act</w:t>
      </w:r>
      <w:r w:rsidRPr="009E3596">
        <w:rPr>
          <w:rFonts w:ascii="Helvetica" w:hAnsi="Helvetica"/>
          <w:sz w:val="22"/>
          <w:szCs w:val="22"/>
        </w:rPr>
        <w:t xml:space="preserve">.  </w:t>
      </w:r>
    </w:p>
    <w:p w14:paraId="56F6FDD6" w14:textId="084EA043" w:rsidR="00CB2858" w:rsidRPr="009E3596" w:rsidRDefault="00CB2858" w:rsidP="009E3596">
      <w:pPr>
        <w:pStyle w:val="ListParagraph"/>
        <w:numPr>
          <w:ilvl w:val="0"/>
          <w:numId w:val="6"/>
        </w:numPr>
        <w:spacing w:line="276" w:lineRule="auto"/>
        <w:rPr>
          <w:rFonts w:ascii="Helvetica" w:hAnsi="Helvetica"/>
          <w:sz w:val="22"/>
          <w:szCs w:val="22"/>
        </w:rPr>
      </w:pPr>
      <w:r w:rsidRPr="009E3596">
        <w:rPr>
          <w:rFonts w:ascii="Helvetica" w:hAnsi="Helvetica"/>
          <w:sz w:val="22"/>
          <w:szCs w:val="22"/>
        </w:rPr>
        <w:t>The “</w:t>
      </w:r>
      <w:r w:rsidRPr="009E3596">
        <w:rPr>
          <w:rFonts w:ascii="Helvetica" w:hAnsi="Helvetica"/>
          <w:sz w:val="22"/>
          <w:szCs w:val="22"/>
        </w:rPr>
        <w:t>Financial Oversight</w:t>
      </w:r>
      <w:r w:rsidRPr="009E3596">
        <w:rPr>
          <w:rFonts w:ascii="Helvetica" w:hAnsi="Helvetica"/>
          <w:sz w:val="22"/>
          <w:szCs w:val="22"/>
        </w:rPr>
        <w:t>” section</w:t>
      </w:r>
      <w:r w:rsidRPr="009E3596">
        <w:rPr>
          <w:rFonts w:ascii="Helvetica" w:hAnsi="Helvetica"/>
          <w:sz w:val="22"/>
          <w:szCs w:val="22"/>
        </w:rPr>
        <w:t>, beginning on page 55</w:t>
      </w:r>
      <w:r w:rsidRPr="009E3596">
        <w:rPr>
          <w:rFonts w:ascii="Helvetica" w:hAnsi="Helvetica"/>
          <w:sz w:val="22"/>
          <w:szCs w:val="22"/>
        </w:rPr>
        <w:t xml:space="preserve">, contains applicable board development information regarding role clarification, the difference between strategic oversight and operational management, and the importance of financial literacy for the entire board. </w:t>
      </w:r>
    </w:p>
    <w:p w14:paraId="504CB883" w14:textId="490CBB8C" w:rsidR="009E3596" w:rsidRDefault="009E3596" w:rsidP="009E3596">
      <w:pPr>
        <w:pStyle w:val="NormalWeb"/>
        <w:numPr>
          <w:ilvl w:val="0"/>
          <w:numId w:val="6"/>
        </w:numPr>
      </w:pPr>
      <w:r>
        <w:rPr>
          <w:rFonts w:ascii="Helvetica" w:hAnsi="Helvetica"/>
          <w:sz w:val="22"/>
          <w:szCs w:val="22"/>
        </w:rPr>
        <w:t>Very useful table</w:t>
      </w:r>
      <w:r w:rsidR="001B26C5">
        <w:rPr>
          <w:rFonts w:ascii="Helvetica" w:hAnsi="Helvetica"/>
          <w:sz w:val="22"/>
          <w:szCs w:val="22"/>
        </w:rPr>
        <w:t xml:space="preserve"> on page </w:t>
      </w:r>
      <w:r>
        <w:rPr>
          <w:rFonts w:ascii="Helvetica" w:hAnsi="Helvetica"/>
          <w:sz w:val="22"/>
          <w:szCs w:val="22"/>
        </w:rPr>
        <w:t xml:space="preserve">64 to adapt for your board’s financial planning and </w:t>
      </w:r>
      <w:r>
        <w:rPr>
          <w:rFonts w:ascii="Calibri" w:hAnsi="Calibri"/>
        </w:rPr>
        <w:t xml:space="preserve">oversight. </w:t>
      </w:r>
    </w:p>
    <w:p w14:paraId="625DF76D" w14:textId="776B28A9" w:rsidR="006E08D3" w:rsidRDefault="00FB5B0F">
      <w:pPr>
        <w:rPr>
          <w:rFonts w:ascii="Helvetica" w:hAnsi="Helvetica"/>
          <w:sz w:val="22"/>
          <w:szCs w:val="22"/>
        </w:rPr>
      </w:pPr>
      <w:bookmarkStart w:id="0" w:name="_GoBack"/>
      <w:r>
        <w:rPr>
          <w:rFonts w:ascii="Helvetica" w:hAnsi="Helvetica"/>
          <w:sz w:val="22"/>
          <w:szCs w:val="22"/>
        </w:rPr>
        <w:t>Contact BCLTA to add your</w:t>
      </w:r>
      <w:r w:rsidR="006E08D3">
        <w:rPr>
          <w:rFonts w:ascii="Helvetica" w:hAnsi="Helvetica"/>
          <w:sz w:val="22"/>
          <w:szCs w:val="22"/>
        </w:rPr>
        <w:t xml:space="preserve"> resources, templates, or policies to this </w:t>
      </w:r>
      <w:r w:rsidR="009E3596">
        <w:rPr>
          <w:rFonts w:ascii="Helvetica" w:hAnsi="Helvetica"/>
          <w:sz w:val="22"/>
          <w:szCs w:val="22"/>
        </w:rPr>
        <w:t>Discussion Starter</w:t>
      </w:r>
      <w:r w:rsidR="006E08D3">
        <w:rPr>
          <w:rFonts w:ascii="Helvetica" w:hAnsi="Helvetica"/>
          <w:sz w:val="22"/>
          <w:szCs w:val="22"/>
        </w:rPr>
        <w:t xml:space="preserve">. </w:t>
      </w:r>
    </w:p>
    <w:bookmarkEnd w:id="0"/>
    <w:p w14:paraId="32A4C4E1" w14:textId="77777777" w:rsidR="006E08D3" w:rsidRDefault="006E08D3">
      <w:pPr>
        <w:rPr>
          <w:rFonts w:ascii="Helvetica" w:hAnsi="Helvetica"/>
          <w:sz w:val="22"/>
          <w:szCs w:val="22"/>
        </w:rPr>
      </w:pPr>
    </w:p>
    <w:p w14:paraId="5230E559" w14:textId="119C1682" w:rsidR="00DB1ED0" w:rsidRDefault="001B4170"/>
    <w:sectPr w:rsidR="00DB1ED0" w:rsidSect="00FB5B0F">
      <w:footerReference w:type="even"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1BF5A" w14:textId="77777777" w:rsidR="001B4170" w:rsidRDefault="001B4170" w:rsidP="003D3CBF">
      <w:r>
        <w:separator/>
      </w:r>
    </w:p>
  </w:endnote>
  <w:endnote w:type="continuationSeparator" w:id="0">
    <w:p w14:paraId="77536838" w14:textId="77777777" w:rsidR="001B4170" w:rsidRDefault="001B4170" w:rsidP="003D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862009955"/>
      <w:docPartObj>
        <w:docPartGallery w:val="Page Numbers (Top of Page)"/>
        <w:docPartUnique/>
      </w:docPartObj>
    </w:sdtPr>
    <w:sdtEndPr>
      <w:rPr>
        <w:b/>
      </w:rPr>
    </w:sdtEndPr>
    <w:sdtContent>
      <w:p w14:paraId="557B0892" w14:textId="77777777" w:rsidR="006E08D3" w:rsidRDefault="006E08D3" w:rsidP="006E08D3">
        <w:pPr>
          <w:pStyle w:val="Footer"/>
          <w:tabs>
            <w:tab w:val="left" w:pos="2750"/>
          </w:tabs>
          <w:rPr>
            <w:rFonts w:ascii="Arial" w:hAnsi="Arial" w:cs="Arial"/>
            <w:b/>
            <w:sz w:val="16"/>
            <w:szCs w:val="16"/>
          </w:rPr>
        </w:pPr>
        <w:r>
          <w:rPr>
            <w:rFonts w:ascii="Helvetica" w:hAnsi="Helvetica" w:cs="Arial"/>
            <w:sz w:val="18"/>
            <w:szCs w:val="18"/>
          </w:rPr>
          <w:t xml:space="preserve">B.Kelly   </w:t>
        </w:r>
        <w:r>
          <w:rPr>
            <w:rFonts w:ascii="Helvetica" w:hAnsi="Helvetica" w:cs="Arial"/>
            <w:sz w:val="18"/>
            <w:szCs w:val="18"/>
          </w:rPr>
          <w:tab/>
        </w:r>
        <w:r>
          <w:rPr>
            <w:rFonts w:ascii="Helvetica" w:hAnsi="Helvetica" w:cs="Arial"/>
            <w:sz w:val="18"/>
            <w:szCs w:val="18"/>
          </w:rPr>
          <w:tab/>
          <w:t>October 31, 2018</w:t>
        </w:r>
        <w:r>
          <w:rPr>
            <w:rFonts w:ascii="Helvetica" w:hAnsi="Helvetica" w:cs="Arial"/>
            <w:sz w:val="18"/>
            <w:szCs w:val="18"/>
          </w:rPr>
          <w:tab/>
          <w:t xml:space="preserve"> </w:t>
        </w:r>
        <w:r w:rsidRPr="008D513C">
          <w:rPr>
            <w:rFonts w:ascii="Helvetica" w:hAnsi="Helvetica" w:cs="Arial"/>
            <w:b/>
            <w:bCs/>
            <w:sz w:val="18"/>
            <w:szCs w:val="18"/>
          </w:rPr>
          <w:fldChar w:fldCharType="begin"/>
        </w:r>
        <w:r w:rsidRPr="008D513C">
          <w:rPr>
            <w:rFonts w:ascii="Helvetica" w:hAnsi="Helvetica" w:cs="Arial"/>
            <w:b/>
            <w:bCs/>
            <w:sz w:val="18"/>
            <w:szCs w:val="18"/>
          </w:rPr>
          <w:instrText xml:space="preserve"> PAGE </w:instrText>
        </w:r>
        <w:r w:rsidRPr="008D513C">
          <w:rPr>
            <w:rFonts w:ascii="Helvetica" w:hAnsi="Helvetica" w:cs="Arial"/>
            <w:b/>
            <w:bCs/>
            <w:sz w:val="18"/>
            <w:szCs w:val="18"/>
          </w:rPr>
          <w:fldChar w:fldCharType="separate"/>
        </w:r>
        <w:r w:rsidR="00FB5B0F">
          <w:rPr>
            <w:rFonts w:ascii="Helvetica" w:hAnsi="Helvetica" w:cs="Arial"/>
            <w:b/>
            <w:bCs/>
            <w:noProof/>
            <w:sz w:val="18"/>
            <w:szCs w:val="18"/>
          </w:rPr>
          <w:t>2</w:t>
        </w:r>
        <w:r w:rsidRPr="008D513C">
          <w:rPr>
            <w:rFonts w:ascii="Helvetica" w:hAnsi="Helvetica" w:cs="Arial"/>
            <w:b/>
            <w:bCs/>
            <w:sz w:val="18"/>
            <w:szCs w:val="18"/>
          </w:rPr>
          <w:fldChar w:fldCharType="end"/>
        </w:r>
        <w:r w:rsidRPr="008D513C">
          <w:rPr>
            <w:rFonts w:ascii="Helvetica" w:hAnsi="Helvetica" w:cs="Arial"/>
            <w:sz w:val="18"/>
            <w:szCs w:val="18"/>
          </w:rPr>
          <w:t xml:space="preserve"> / </w:t>
        </w:r>
        <w:r w:rsidRPr="008D513C">
          <w:rPr>
            <w:rFonts w:ascii="Helvetica" w:hAnsi="Helvetica" w:cs="Arial"/>
            <w:b/>
            <w:bCs/>
            <w:sz w:val="18"/>
            <w:szCs w:val="18"/>
          </w:rPr>
          <w:fldChar w:fldCharType="begin"/>
        </w:r>
        <w:r w:rsidRPr="008D513C">
          <w:rPr>
            <w:rFonts w:ascii="Helvetica" w:hAnsi="Helvetica" w:cs="Arial"/>
            <w:b/>
            <w:bCs/>
            <w:sz w:val="18"/>
            <w:szCs w:val="18"/>
          </w:rPr>
          <w:instrText xml:space="preserve"> NUMPAGES  </w:instrText>
        </w:r>
        <w:r w:rsidRPr="008D513C">
          <w:rPr>
            <w:rFonts w:ascii="Helvetica" w:hAnsi="Helvetica" w:cs="Arial"/>
            <w:b/>
            <w:bCs/>
            <w:sz w:val="18"/>
            <w:szCs w:val="18"/>
          </w:rPr>
          <w:fldChar w:fldCharType="separate"/>
        </w:r>
        <w:r w:rsidR="00FB5B0F">
          <w:rPr>
            <w:rFonts w:ascii="Helvetica" w:hAnsi="Helvetica" w:cs="Arial"/>
            <w:b/>
            <w:bCs/>
            <w:noProof/>
            <w:sz w:val="18"/>
            <w:szCs w:val="18"/>
          </w:rPr>
          <w:t>2</w:t>
        </w:r>
        <w:r w:rsidRPr="008D513C">
          <w:rPr>
            <w:rFonts w:ascii="Helvetica" w:hAnsi="Helvetica" w:cs="Arial"/>
            <w:b/>
            <w:bCs/>
            <w:sz w:val="18"/>
            <w:szCs w:val="18"/>
          </w:rPr>
          <w:fldChar w:fldCharType="end"/>
        </w:r>
        <w:r w:rsidRPr="008D513C">
          <w:rPr>
            <w:rFonts w:ascii="Helvetica" w:hAnsi="Helvetica" w:cs="Arial"/>
            <w:sz w:val="18"/>
            <w:szCs w:val="18"/>
          </w:rPr>
          <w:t xml:space="preserve">                                                                             </w:t>
        </w:r>
      </w:p>
    </w:sdtContent>
  </w:sdt>
  <w:p w14:paraId="11D853DF" w14:textId="77777777" w:rsidR="006E08D3" w:rsidRDefault="006E08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365134935"/>
      <w:docPartObj>
        <w:docPartGallery w:val="Page Numbers (Top of Page)"/>
        <w:docPartUnique/>
      </w:docPartObj>
    </w:sdtPr>
    <w:sdtEndPr>
      <w:rPr>
        <w:b/>
      </w:rPr>
    </w:sdtEndPr>
    <w:sdtContent>
      <w:p w14:paraId="1B1A3AFF" w14:textId="6D25B4F0" w:rsidR="006E08D3" w:rsidRDefault="005E3682" w:rsidP="006E08D3">
        <w:pPr>
          <w:pStyle w:val="Footer"/>
          <w:tabs>
            <w:tab w:val="left" w:pos="2750"/>
          </w:tabs>
          <w:rPr>
            <w:rFonts w:ascii="Arial" w:hAnsi="Arial" w:cs="Arial"/>
            <w:b/>
            <w:sz w:val="16"/>
            <w:szCs w:val="16"/>
          </w:rPr>
        </w:pPr>
        <w:r>
          <w:rPr>
            <w:rFonts w:ascii="Helvetica" w:hAnsi="Helvetica" w:cs="Arial"/>
            <w:sz w:val="18"/>
            <w:szCs w:val="18"/>
          </w:rPr>
          <w:t>Contact: execdir@bclta.ca</w:t>
        </w:r>
        <w:r w:rsidR="006E08D3">
          <w:rPr>
            <w:rFonts w:ascii="Helvetica" w:hAnsi="Helvetica" w:cs="Arial"/>
            <w:sz w:val="18"/>
            <w:szCs w:val="18"/>
          </w:rPr>
          <w:t xml:space="preserve">   </w:t>
        </w:r>
        <w:r w:rsidR="006E08D3">
          <w:rPr>
            <w:rFonts w:ascii="Helvetica" w:hAnsi="Helvetica" w:cs="Arial"/>
            <w:sz w:val="18"/>
            <w:szCs w:val="18"/>
          </w:rPr>
          <w:tab/>
        </w:r>
        <w:r w:rsidR="006E08D3">
          <w:rPr>
            <w:rFonts w:ascii="Helvetica" w:hAnsi="Helvetica" w:cs="Arial"/>
            <w:sz w:val="18"/>
            <w:szCs w:val="18"/>
          </w:rPr>
          <w:tab/>
        </w:r>
        <w:r>
          <w:rPr>
            <w:rFonts w:ascii="Helvetica" w:hAnsi="Helvetica" w:cs="Arial"/>
            <w:sz w:val="18"/>
            <w:szCs w:val="18"/>
          </w:rPr>
          <w:t>V1: November 2018</w:t>
        </w:r>
        <w:r w:rsidR="006E08D3">
          <w:rPr>
            <w:rFonts w:ascii="Helvetica" w:hAnsi="Helvetica" w:cs="Arial"/>
            <w:sz w:val="18"/>
            <w:szCs w:val="18"/>
          </w:rPr>
          <w:tab/>
          <w:t xml:space="preserve"> </w:t>
        </w:r>
        <w:r w:rsidR="006E08D3" w:rsidRPr="008D513C">
          <w:rPr>
            <w:rFonts w:ascii="Helvetica" w:hAnsi="Helvetica" w:cs="Arial"/>
            <w:b/>
            <w:bCs/>
            <w:sz w:val="18"/>
            <w:szCs w:val="18"/>
          </w:rPr>
          <w:fldChar w:fldCharType="begin"/>
        </w:r>
        <w:r w:rsidR="006E08D3" w:rsidRPr="008D513C">
          <w:rPr>
            <w:rFonts w:ascii="Helvetica" w:hAnsi="Helvetica" w:cs="Arial"/>
            <w:b/>
            <w:bCs/>
            <w:sz w:val="18"/>
            <w:szCs w:val="18"/>
          </w:rPr>
          <w:instrText xml:space="preserve"> PAGE </w:instrText>
        </w:r>
        <w:r w:rsidR="006E08D3" w:rsidRPr="008D513C">
          <w:rPr>
            <w:rFonts w:ascii="Helvetica" w:hAnsi="Helvetica" w:cs="Arial"/>
            <w:b/>
            <w:bCs/>
            <w:sz w:val="18"/>
            <w:szCs w:val="18"/>
          </w:rPr>
          <w:fldChar w:fldCharType="separate"/>
        </w:r>
        <w:r w:rsidR="001B4170">
          <w:rPr>
            <w:rFonts w:ascii="Helvetica" w:hAnsi="Helvetica" w:cs="Arial"/>
            <w:b/>
            <w:bCs/>
            <w:noProof/>
            <w:sz w:val="18"/>
            <w:szCs w:val="18"/>
          </w:rPr>
          <w:t>1</w:t>
        </w:r>
        <w:r w:rsidR="006E08D3" w:rsidRPr="008D513C">
          <w:rPr>
            <w:rFonts w:ascii="Helvetica" w:hAnsi="Helvetica" w:cs="Arial"/>
            <w:b/>
            <w:bCs/>
            <w:sz w:val="18"/>
            <w:szCs w:val="18"/>
          </w:rPr>
          <w:fldChar w:fldCharType="end"/>
        </w:r>
        <w:r w:rsidR="006E08D3" w:rsidRPr="008D513C">
          <w:rPr>
            <w:rFonts w:ascii="Helvetica" w:hAnsi="Helvetica" w:cs="Arial"/>
            <w:sz w:val="18"/>
            <w:szCs w:val="18"/>
          </w:rPr>
          <w:t xml:space="preserve"> / </w:t>
        </w:r>
        <w:r w:rsidR="006E08D3" w:rsidRPr="008D513C">
          <w:rPr>
            <w:rFonts w:ascii="Helvetica" w:hAnsi="Helvetica" w:cs="Arial"/>
            <w:b/>
            <w:bCs/>
            <w:sz w:val="18"/>
            <w:szCs w:val="18"/>
          </w:rPr>
          <w:fldChar w:fldCharType="begin"/>
        </w:r>
        <w:r w:rsidR="006E08D3" w:rsidRPr="008D513C">
          <w:rPr>
            <w:rFonts w:ascii="Helvetica" w:hAnsi="Helvetica" w:cs="Arial"/>
            <w:b/>
            <w:bCs/>
            <w:sz w:val="18"/>
            <w:szCs w:val="18"/>
          </w:rPr>
          <w:instrText xml:space="preserve"> NUMPAGES  </w:instrText>
        </w:r>
        <w:r w:rsidR="006E08D3" w:rsidRPr="008D513C">
          <w:rPr>
            <w:rFonts w:ascii="Helvetica" w:hAnsi="Helvetica" w:cs="Arial"/>
            <w:b/>
            <w:bCs/>
            <w:sz w:val="18"/>
            <w:szCs w:val="18"/>
          </w:rPr>
          <w:fldChar w:fldCharType="separate"/>
        </w:r>
        <w:r w:rsidR="001B4170">
          <w:rPr>
            <w:rFonts w:ascii="Helvetica" w:hAnsi="Helvetica" w:cs="Arial"/>
            <w:b/>
            <w:bCs/>
            <w:noProof/>
            <w:sz w:val="18"/>
            <w:szCs w:val="18"/>
          </w:rPr>
          <w:t>1</w:t>
        </w:r>
        <w:r w:rsidR="006E08D3" w:rsidRPr="008D513C">
          <w:rPr>
            <w:rFonts w:ascii="Helvetica" w:hAnsi="Helvetica" w:cs="Arial"/>
            <w:b/>
            <w:bCs/>
            <w:sz w:val="18"/>
            <w:szCs w:val="18"/>
          </w:rPr>
          <w:fldChar w:fldCharType="end"/>
        </w:r>
        <w:r w:rsidR="006E08D3" w:rsidRPr="008D513C">
          <w:rPr>
            <w:rFonts w:ascii="Helvetica" w:hAnsi="Helvetica" w:cs="Arial"/>
            <w:sz w:val="18"/>
            <w:szCs w:val="18"/>
          </w:rPr>
          <w:t xml:space="preserve">                                                                             </w:t>
        </w:r>
      </w:p>
    </w:sdtContent>
  </w:sdt>
  <w:p w14:paraId="6EBAC64A" w14:textId="77777777" w:rsidR="00DA01BF" w:rsidRPr="006E08D3" w:rsidRDefault="001B4170" w:rsidP="006E08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1DBA5" w14:textId="77777777" w:rsidR="001B4170" w:rsidRDefault="001B4170" w:rsidP="003D3CBF">
      <w:r>
        <w:separator/>
      </w:r>
    </w:p>
  </w:footnote>
  <w:footnote w:type="continuationSeparator" w:id="0">
    <w:p w14:paraId="4D745503" w14:textId="77777777" w:rsidR="001B4170" w:rsidRDefault="001B4170" w:rsidP="003D3C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96A60"/>
    <w:multiLevelType w:val="hybridMultilevel"/>
    <w:tmpl w:val="68C6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A6415"/>
    <w:multiLevelType w:val="hybridMultilevel"/>
    <w:tmpl w:val="E700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757A9D"/>
    <w:multiLevelType w:val="hybridMultilevel"/>
    <w:tmpl w:val="41CE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240206"/>
    <w:multiLevelType w:val="multilevel"/>
    <w:tmpl w:val="C0B0C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325530"/>
    <w:multiLevelType w:val="hybridMultilevel"/>
    <w:tmpl w:val="E3D2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775049"/>
    <w:multiLevelType w:val="hybridMultilevel"/>
    <w:tmpl w:val="ABF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7E"/>
    <w:rsid w:val="00051922"/>
    <w:rsid w:val="001B26C5"/>
    <w:rsid w:val="001B4170"/>
    <w:rsid w:val="0032334B"/>
    <w:rsid w:val="003964EE"/>
    <w:rsid w:val="003D3CBF"/>
    <w:rsid w:val="00413DDF"/>
    <w:rsid w:val="00435A6F"/>
    <w:rsid w:val="00454A7E"/>
    <w:rsid w:val="004876DE"/>
    <w:rsid w:val="00535F29"/>
    <w:rsid w:val="005A1E2B"/>
    <w:rsid w:val="005E3682"/>
    <w:rsid w:val="006E08D3"/>
    <w:rsid w:val="007E7255"/>
    <w:rsid w:val="008C2C5D"/>
    <w:rsid w:val="009E3596"/>
    <w:rsid w:val="00AA4219"/>
    <w:rsid w:val="00B33F4A"/>
    <w:rsid w:val="00BB12FF"/>
    <w:rsid w:val="00CA77C3"/>
    <w:rsid w:val="00CB2858"/>
    <w:rsid w:val="00DE242E"/>
    <w:rsid w:val="00EB2BA9"/>
    <w:rsid w:val="00EC5DAC"/>
    <w:rsid w:val="00ED64B6"/>
    <w:rsid w:val="00EF619D"/>
    <w:rsid w:val="00F72200"/>
    <w:rsid w:val="00FB5B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2A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4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A7E"/>
    <w:pPr>
      <w:tabs>
        <w:tab w:val="center" w:pos="4680"/>
        <w:tab w:val="right" w:pos="9360"/>
      </w:tabs>
    </w:pPr>
  </w:style>
  <w:style w:type="character" w:customStyle="1" w:styleId="HeaderChar">
    <w:name w:val="Header Char"/>
    <w:basedOn w:val="DefaultParagraphFont"/>
    <w:link w:val="Header"/>
    <w:uiPriority w:val="99"/>
    <w:rsid w:val="00454A7E"/>
  </w:style>
  <w:style w:type="paragraph" w:styleId="Footer">
    <w:name w:val="footer"/>
    <w:basedOn w:val="Normal"/>
    <w:link w:val="FooterChar"/>
    <w:uiPriority w:val="99"/>
    <w:unhideWhenUsed/>
    <w:rsid w:val="00454A7E"/>
    <w:pPr>
      <w:tabs>
        <w:tab w:val="center" w:pos="4680"/>
        <w:tab w:val="right" w:pos="9360"/>
      </w:tabs>
    </w:pPr>
  </w:style>
  <w:style w:type="character" w:customStyle="1" w:styleId="FooterChar">
    <w:name w:val="Footer Char"/>
    <w:basedOn w:val="DefaultParagraphFont"/>
    <w:link w:val="Footer"/>
    <w:uiPriority w:val="99"/>
    <w:rsid w:val="00454A7E"/>
  </w:style>
  <w:style w:type="paragraph" w:styleId="ListParagraph">
    <w:name w:val="List Paragraph"/>
    <w:basedOn w:val="Normal"/>
    <w:uiPriority w:val="34"/>
    <w:qFormat/>
    <w:rsid w:val="005A1E2B"/>
    <w:pPr>
      <w:ind w:left="720"/>
      <w:contextualSpacing/>
    </w:pPr>
  </w:style>
  <w:style w:type="character" w:customStyle="1" w:styleId="apple-converted-space">
    <w:name w:val="apple-converted-space"/>
    <w:basedOn w:val="DefaultParagraphFont"/>
    <w:rsid w:val="00EF619D"/>
  </w:style>
  <w:style w:type="character" w:styleId="Hyperlink">
    <w:name w:val="Hyperlink"/>
    <w:basedOn w:val="DefaultParagraphFont"/>
    <w:uiPriority w:val="99"/>
    <w:unhideWhenUsed/>
    <w:rsid w:val="00EF619D"/>
    <w:rPr>
      <w:color w:val="0000FF"/>
      <w:u w:val="single"/>
    </w:rPr>
  </w:style>
  <w:style w:type="paragraph" w:styleId="NormalWeb">
    <w:name w:val="Normal (Web)"/>
    <w:basedOn w:val="Normal"/>
    <w:uiPriority w:val="99"/>
    <w:semiHidden/>
    <w:unhideWhenUsed/>
    <w:rsid w:val="007E725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239580">
      <w:bodyDiv w:val="1"/>
      <w:marLeft w:val="0"/>
      <w:marRight w:val="0"/>
      <w:marTop w:val="0"/>
      <w:marBottom w:val="0"/>
      <w:divBdr>
        <w:top w:val="none" w:sz="0" w:space="0" w:color="auto"/>
        <w:left w:val="none" w:sz="0" w:space="0" w:color="auto"/>
        <w:bottom w:val="none" w:sz="0" w:space="0" w:color="auto"/>
        <w:right w:val="none" w:sz="0" w:space="0" w:color="auto"/>
      </w:divBdr>
      <w:divsChild>
        <w:div w:id="1045059290">
          <w:marLeft w:val="0"/>
          <w:marRight w:val="0"/>
          <w:marTop w:val="0"/>
          <w:marBottom w:val="0"/>
          <w:divBdr>
            <w:top w:val="none" w:sz="0" w:space="0" w:color="auto"/>
            <w:left w:val="none" w:sz="0" w:space="0" w:color="auto"/>
            <w:bottom w:val="none" w:sz="0" w:space="0" w:color="auto"/>
            <w:right w:val="none" w:sz="0" w:space="0" w:color="auto"/>
          </w:divBdr>
          <w:divsChild>
            <w:div w:id="1156872072">
              <w:marLeft w:val="0"/>
              <w:marRight w:val="0"/>
              <w:marTop w:val="0"/>
              <w:marBottom w:val="0"/>
              <w:divBdr>
                <w:top w:val="none" w:sz="0" w:space="0" w:color="auto"/>
                <w:left w:val="none" w:sz="0" w:space="0" w:color="auto"/>
                <w:bottom w:val="none" w:sz="0" w:space="0" w:color="auto"/>
                <w:right w:val="none" w:sz="0" w:space="0" w:color="auto"/>
              </w:divBdr>
              <w:divsChild>
                <w:div w:id="598870712">
                  <w:marLeft w:val="0"/>
                  <w:marRight w:val="0"/>
                  <w:marTop w:val="0"/>
                  <w:marBottom w:val="0"/>
                  <w:divBdr>
                    <w:top w:val="none" w:sz="0" w:space="0" w:color="auto"/>
                    <w:left w:val="none" w:sz="0" w:space="0" w:color="auto"/>
                    <w:bottom w:val="none" w:sz="0" w:space="0" w:color="auto"/>
                    <w:right w:val="none" w:sz="0" w:space="0" w:color="auto"/>
                  </w:divBdr>
                  <w:divsChild>
                    <w:div w:id="2342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561884">
      <w:bodyDiv w:val="1"/>
      <w:marLeft w:val="0"/>
      <w:marRight w:val="0"/>
      <w:marTop w:val="0"/>
      <w:marBottom w:val="0"/>
      <w:divBdr>
        <w:top w:val="none" w:sz="0" w:space="0" w:color="auto"/>
        <w:left w:val="none" w:sz="0" w:space="0" w:color="auto"/>
        <w:bottom w:val="none" w:sz="0" w:space="0" w:color="auto"/>
        <w:right w:val="none" w:sz="0" w:space="0" w:color="auto"/>
      </w:divBdr>
      <w:divsChild>
        <w:div w:id="1937906664">
          <w:marLeft w:val="0"/>
          <w:marRight w:val="0"/>
          <w:marTop w:val="0"/>
          <w:marBottom w:val="0"/>
          <w:divBdr>
            <w:top w:val="none" w:sz="0" w:space="0" w:color="auto"/>
            <w:left w:val="none" w:sz="0" w:space="0" w:color="auto"/>
            <w:bottom w:val="none" w:sz="0" w:space="0" w:color="auto"/>
            <w:right w:val="none" w:sz="0" w:space="0" w:color="auto"/>
          </w:divBdr>
          <w:divsChild>
            <w:div w:id="1601982449">
              <w:marLeft w:val="0"/>
              <w:marRight w:val="0"/>
              <w:marTop w:val="0"/>
              <w:marBottom w:val="0"/>
              <w:divBdr>
                <w:top w:val="none" w:sz="0" w:space="0" w:color="auto"/>
                <w:left w:val="none" w:sz="0" w:space="0" w:color="auto"/>
                <w:bottom w:val="none" w:sz="0" w:space="0" w:color="auto"/>
                <w:right w:val="none" w:sz="0" w:space="0" w:color="auto"/>
              </w:divBdr>
              <w:divsChild>
                <w:div w:id="18272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12263">
      <w:bodyDiv w:val="1"/>
      <w:marLeft w:val="0"/>
      <w:marRight w:val="0"/>
      <w:marTop w:val="0"/>
      <w:marBottom w:val="0"/>
      <w:divBdr>
        <w:top w:val="none" w:sz="0" w:space="0" w:color="auto"/>
        <w:left w:val="none" w:sz="0" w:space="0" w:color="auto"/>
        <w:bottom w:val="none" w:sz="0" w:space="0" w:color="auto"/>
        <w:right w:val="none" w:sz="0" w:space="0" w:color="auto"/>
      </w:divBdr>
      <w:divsChild>
        <w:div w:id="867639220">
          <w:marLeft w:val="0"/>
          <w:marRight w:val="0"/>
          <w:marTop w:val="0"/>
          <w:marBottom w:val="0"/>
          <w:divBdr>
            <w:top w:val="none" w:sz="0" w:space="0" w:color="auto"/>
            <w:left w:val="none" w:sz="0" w:space="0" w:color="auto"/>
            <w:bottom w:val="none" w:sz="0" w:space="0" w:color="auto"/>
            <w:right w:val="none" w:sz="0" w:space="0" w:color="auto"/>
          </w:divBdr>
          <w:divsChild>
            <w:div w:id="760181633">
              <w:marLeft w:val="0"/>
              <w:marRight w:val="0"/>
              <w:marTop w:val="0"/>
              <w:marBottom w:val="0"/>
              <w:divBdr>
                <w:top w:val="none" w:sz="0" w:space="0" w:color="auto"/>
                <w:left w:val="none" w:sz="0" w:space="0" w:color="auto"/>
                <w:bottom w:val="none" w:sz="0" w:space="0" w:color="auto"/>
                <w:right w:val="none" w:sz="0" w:space="0" w:color="auto"/>
              </w:divBdr>
              <w:divsChild>
                <w:div w:id="4524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79802">
      <w:bodyDiv w:val="1"/>
      <w:marLeft w:val="0"/>
      <w:marRight w:val="0"/>
      <w:marTop w:val="0"/>
      <w:marBottom w:val="0"/>
      <w:divBdr>
        <w:top w:val="none" w:sz="0" w:space="0" w:color="auto"/>
        <w:left w:val="none" w:sz="0" w:space="0" w:color="auto"/>
        <w:bottom w:val="none" w:sz="0" w:space="0" w:color="auto"/>
        <w:right w:val="none" w:sz="0" w:space="0" w:color="auto"/>
      </w:divBdr>
    </w:div>
    <w:div w:id="1784030982">
      <w:bodyDiv w:val="1"/>
      <w:marLeft w:val="0"/>
      <w:marRight w:val="0"/>
      <w:marTop w:val="0"/>
      <w:marBottom w:val="0"/>
      <w:divBdr>
        <w:top w:val="none" w:sz="0" w:space="0" w:color="auto"/>
        <w:left w:val="none" w:sz="0" w:space="0" w:color="auto"/>
        <w:bottom w:val="none" w:sz="0" w:space="0" w:color="auto"/>
        <w:right w:val="none" w:sz="0" w:space="0" w:color="auto"/>
      </w:divBdr>
      <w:divsChild>
        <w:div w:id="1743678201">
          <w:marLeft w:val="0"/>
          <w:marRight w:val="0"/>
          <w:marTop w:val="0"/>
          <w:marBottom w:val="0"/>
          <w:divBdr>
            <w:top w:val="none" w:sz="0" w:space="0" w:color="auto"/>
            <w:left w:val="none" w:sz="0" w:space="0" w:color="auto"/>
            <w:bottom w:val="none" w:sz="0" w:space="0" w:color="auto"/>
            <w:right w:val="none" w:sz="0" w:space="0" w:color="auto"/>
          </w:divBdr>
          <w:divsChild>
            <w:div w:id="1114444537">
              <w:marLeft w:val="0"/>
              <w:marRight w:val="0"/>
              <w:marTop w:val="0"/>
              <w:marBottom w:val="0"/>
              <w:divBdr>
                <w:top w:val="none" w:sz="0" w:space="0" w:color="auto"/>
                <w:left w:val="none" w:sz="0" w:space="0" w:color="auto"/>
                <w:bottom w:val="none" w:sz="0" w:space="0" w:color="auto"/>
                <w:right w:val="none" w:sz="0" w:space="0" w:color="auto"/>
              </w:divBdr>
              <w:divsChild>
                <w:div w:id="5473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nvdpl.ca/sites/default/files/BG-GOV-01.4_DutiesAndResponsibilitiesOfTheBoard.pdf" TargetMode="External"/><Relationship Id="rId12" Type="http://schemas.openxmlformats.org/officeDocument/2006/relationships/hyperlink" Target="http://accessola.com/olba/pdf/cut_to_the_chase.pdf" TargetMode="External"/><Relationship Id="rId13" Type="http://schemas.openxmlformats.org/officeDocument/2006/relationships/hyperlink" Target="https://www.sols.org/files/docs/develop/publications/current/Kit2014-full_document-Final.pdf"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bclta.ca/wp-content/uploads/2018/05/BCLTA-Forum-2018-Boards-and-Financials.pdf" TargetMode="External"/><Relationship Id="rId10" Type="http://schemas.openxmlformats.org/officeDocument/2006/relationships/hyperlink" Target="https://www.cpacanada.ca/en/business-and-accounting-resources/strategy-risk-and-governance/not-for-profit-governance/publications/nfp-financial-statements-guide-directors-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D99F13-591A-3643-8431-27E927FEE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2</Pages>
  <Words>547</Words>
  <Characters>3251</Characters>
  <Application>Microsoft Macintosh Word</Application>
  <DocSecurity>0</DocSecurity>
  <Lines>87</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Babs Kelly</dc:creator>
  <cp:keywords/>
  <dc:description/>
  <cp:lastModifiedBy>Babs Kelly</cp:lastModifiedBy>
  <cp:revision>3</cp:revision>
  <dcterms:created xsi:type="dcterms:W3CDTF">2018-11-29T04:25:00Z</dcterms:created>
  <dcterms:modified xsi:type="dcterms:W3CDTF">2018-11-29T23:02:00Z</dcterms:modified>
</cp:coreProperties>
</file>